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26-108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SOIL CONSERVATION AND WATER QUALITY DIVISION[27]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27—Chapter 2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“Operation of State Soil Conservation and Water Quality Committee”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161A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section 161A.4A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49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July 14,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to 10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Borlaug 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Hoover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comments concerning this Regulatory Analysis, which must be received by the Soil Conservation and Water Quality Division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645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Colin Tadlock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1305 East Walnut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colin.tadlock@iowaagriculture.gov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rescinds Chapter 2. Provisions included in this chapter have been consolidated and incorporated into a revised 27—Chapter 1 in a concurrent rulemaking (</w:t>
      </w:r>
      <w:r>
        <w:rPr>
          <w:rFonts w:ascii="Times New Roman" w:hAnsi="Times New Roman"/>
          <w:b/>
          <w:i w:val="false"/>
          <w:color w:val="000000"/>
          <w:sz w:val="24"/>
        </w:rPr>
        <w:t>RA 26-95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6/24/26).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costs are incurred by the public to comply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persons will directly benefit from this proposed rulemaking. Chapter 2 is proposed to be rescinded.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will be no significant impact associated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will be no significant impact associated with this proposed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alternative methods were considered. The chapter is no longer necessary.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chapter is proposed to be rescinded.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rescission of this chapter will have no significant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27—Chapter 2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colin.tadlock@iowaagriculture.gov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